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61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方正小标宋简体" w:hAnsi="方正小标宋简体" w:eastAsia="方正小标宋简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u w:val="none"/>
          <w:lang w:val="en-US" w:eastAsia="zh-CN"/>
        </w:rPr>
        <w:t>镇远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u w:val="none"/>
        </w:rPr>
        <w:t>古城景区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u w:val="none"/>
          <w:lang w:val="en-US" w:eastAsia="zh-CN"/>
        </w:rPr>
        <w:t>及周边道路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u w:val="none"/>
        </w:rPr>
        <w:t>交通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u w:val="none"/>
          <w:lang w:val="en-US" w:eastAsia="zh-CN"/>
        </w:rPr>
        <w:t>组织通行</w:t>
      </w:r>
    </w:p>
    <w:p w14:paraId="628C1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u w:val="none"/>
          <w:lang w:val="en-US" w:eastAsia="zh-CN"/>
        </w:rPr>
        <w:t>优化调整措施（征求意见稿）</w:t>
      </w:r>
    </w:p>
    <w:p w14:paraId="56C00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u w:val="none"/>
        </w:rPr>
      </w:pPr>
    </w:p>
    <w:p w14:paraId="4A7C42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47" w:firstLine="640" w:firstLineChars="200"/>
        <w:jc w:val="left"/>
        <w:textAlignment w:val="auto"/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进一步提升镇远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</w:rPr>
        <w:t>古城景区品质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全力打造世界级旅游景区景点。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根据《中华人民共和国道路交通</w:t>
      </w:r>
      <w:bookmarkStart w:id="0" w:name="_GoBack"/>
      <w:bookmarkEnd w:id="0"/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安全法》《中华人民共和国旅游法》《黔东南苗族侗族自治州镇远历史文化名城保护条例》 《黔东南苗族侗族自治州舞阳河风景名胜区管理条例》，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</w:rPr>
        <w:t>结合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  <w:lang w:eastAsia="zh-CN"/>
        </w:rPr>
        <w:t>镇远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古城景区及周边道路交通的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</w:rPr>
        <w:t>实际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情况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充分考虑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</w:rPr>
        <w:t>景区保护、游客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安全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</w:rPr>
        <w:t>与居民生活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等各方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</w:rPr>
        <w:t>需求，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特制定以下优化调整措施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u w:val="none"/>
        </w:rPr>
        <w:t>。</w:t>
      </w:r>
    </w:p>
    <w:p w14:paraId="57D74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黑体" w:hAnsi="黑体" w:eastAsia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  <w:u w:val="none"/>
          <w:lang w:val="en-US" w:eastAsia="zh-CN" w:bidi="ar-SA"/>
        </w:rPr>
        <w:t>一、古城景区核心区道路交通组织优化措施</w:t>
      </w:r>
    </w:p>
    <w:p w14:paraId="0D2E3606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（一）核心优化区域：</w:t>
      </w:r>
      <w:r>
        <w:rPr>
          <w:rFonts w:hint="default" w:ascii="仿宋_GB2312" w:hAnsi="仿宋_GB2312" w:eastAsia="仿宋_GB2312"/>
          <w:color w:val="000000"/>
          <w:sz w:val="32"/>
          <w:szCs w:val="32"/>
          <w:highlight w:val="none"/>
          <w:u w:val="none"/>
          <w:lang w:val="en-US" w:eastAsia="zh-CN"/>
        </w:rPr>
        <w:t>新大桥北至卫星桥（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val="en-US" w:eastAsia="zh-CN"/>
        </w:rPr>
        <w:t>景区</w:t>
      </w:r>
      <w:r>
        <w:rPr>
          <w:rFonts w:hint="default" w:ascii="仿宋_GB2312" w:hAnsi="仿宋_GB2312" w:eastAsia="仿宋_GB2312"/>
          <w:color w:val="000000"/>
          <w:sz w:val="32"/>
          <w:szCs w:val="32"/>
          <w:highlight w:val="none"/>
          <w:u w:val="none"/>
          <w:lang w:val="en-US" w:eastAsia="zh-CN"/>
        </w:rPr>
        <w:t>核心区）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val="en-US" w:eastAsia="zh-CN"/>
        </w:rPr>
        <w:t>。</w:t>
      </w:r>
    </w:p>
    <w:p w14:paraId="5E913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（二）通行车辆类型划分</w:t>
      </w:r>
    </w:p>
    <w:p w14:paraId="43F09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一类：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19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val="en-US" w:eastAsia="zh-CN"/>
        </w:rPr>
        <w:t>座以下（6米以下）载客汽车、4.5吨以下的轻型载货汽车、</w:t>
      </w:r>
      <w:r>
        <w:rPr>
          <w:rFonts w:hint="eastAsia" w:ascii="仿宋_GB2312" w:hAnsi="仿宋_GB2312" w:eastAsia="仿宋_GB2312"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三轮摩托（电动）车。</w:t>
      </w:r>
    </w:p>
    <w:p w14:paraId="6A384339">
      <w:pPr>
        <w:keepNext w:val="0"/>
        <w:keepLines w:val="0"/>
        <w:pageBreakBefore w:val="0"/>
        <w:widowControl w:val="0"/>
        <w:tabs>
          <w:tab w:val="left" w:pos="74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二类：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换乘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val="en-US" w:eastAsia="zh-CN"/>
        </w:rPr>
        <w:t>摆渡车辆、校车、运钞车辆、殡葬车。</w:t>
      </w:r>
    </w:p>
    <w:p w14:paraId="24F73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三类：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u w:val="none"/>
          <w:lang w:val="en-US" w:eastAsia="zh-CN"/>
        </w:rPr>
        <w:t>消防救援和医疗救护、军警车辆、执法车辆、旅游观光车辆、公交车辆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val="en-US" w:eastAsia="zh-CN"/>
        </w:rPr>
        <w:t>。</w:t>
      </w:r>
    </w:p>
    <w:p w14:paraId="7C1BE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四类：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val="en-US" w:eastAsia="zh-CN"/>
        </w:rPr>
        <w:t>因建设和举办大型活动等特殊任务需求的中、大型货运车辆、大型客运车辆（19座以上）、市政保洁作业车辆、临时施工作业车辆。</w:t>
      </w:r>
    </w:p>
    <w:p w14:paraId="41256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五类：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val="en-US" w:eastAsia="zh-CN"/>
        </w:rPr>
        <w:t>燃气、桶装水、外卖车辆、物流快递及其他配送车辆。</w:t>
      </w:r>
    </w:p>
    <w:p w14:paraId="09D50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六类：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val="en-US" w:eastAsia="zh-CN"/>
        </w:rPr>
        <w:t>二轮摩托车、电动车辆、非机动车。</w:t>
      </w:r>
    </w:p>
    <w:p w14:paraId="6E047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七类：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19座以上（6米以上）载客汽车、4.5吨以上的重型载货汽车。</w:t>
      </w:r>
    </w:p>
    <w:p w14:paraId="05DE5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default" w:ascii="仿宋_GB2312" w:hAnsi="仿宋_GB2312" w:eastAsia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（三）分级分时优化通行方案</w:t>
      </w:r>
    </w:p>
    <w:tbl>
      <w:tblPr>
        <w:tblStyle w:val="6"/>
        <w:tblW w:w="95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3610"/>
        <w:gridCol w:w="3968"/>
        <w:gridCol w:w="772"/>
      </w:tblGrid>
      <w:tr w14:paraId="3CBC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73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34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繁忙时段：</w:t>
            </w:r>
            <w:r>
              <w:rPr>
                <w:rStyle w:val="26"/>
                <w:rFonts w:hint="eastAsia" w:hAnsi="宋体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月1日至</w:t>
            </w:r>
            <w:r>
              <w:rPr>
                <w:rStyle w:val="26"/>
                <w:rFonts w:hint="eastAsia" w:hAnsi="宋体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月31日（9:00至23:00），</w:t>
            </w:r>
            <w:r>
              <w:rPr>
                <w:rStyle w:val="26"/>
                <w:rFonts w:hint="eastAsia" w:hAnsi="宋体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月1日至次年</w:t>
            </w:r>
            <w:r>
              <w:rPr>
                <w:rStyle w:val="26"/>
                <w:rFonts w:hint="eastAsia" w:hAnsi="宋体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月30日（9:00至22:00）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71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非繁忙时段：</w:t>
            </w:r>
            <w:r>
              <w:rPr>
                <w:rStyle w:val="26"/>
                <w:rFonts w:hint="eastAsia" w:hAnsi="宋体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月1日至</w:t>
            </w:r>
            <w:r>
              <w:rPr>
                <w:rStyle w:val="26"/>
                <w:rFonts w:hint="eastAsia" w:hAnsi="宋体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月31日（23:00至次日9:00），</w:t>
            </w:r>
            <w:r>
              <w:rPr>
                <w:rStyle w:val="26"/>
                <w:rFonts w:hint="eastAsia" w:hAnsi="宋体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月1日至次年</w:t>
            </w:r>
            <w:r>
              <w:rPr>
                <w:rStyle w:val="26"/>
                <w:rFonts w:hint="eastAsia" w:hAnsi="宋体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月30日（22:00至9:00）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0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9A5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C6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11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限制驶入，可往卫星桥方向驶出。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24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双向通行。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1B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</w:p>
        </w:tc>
      </w:tr>
      <w:tr w14:paraId="3895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C7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CD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按照单行路线通行（过夜游客摆渡车点对点接送；不过夜游客实行定点摆渡）。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0A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双向通行。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FF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</w:p>
        </w:tc>
      </w:tr>
      <w:tr w14:paraId="400E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EB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14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旅游观光车双向通行，其他车辆执行任务时可双向通行。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71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双向通行。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0B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</w:p>
        </w:tc>
      </w:tr>
      <w:tr w14:paraId="2C47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ED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四类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FD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采取申报方式限时通行。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5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中、大型货运车辆、大型客运客车辆（19座以上）因特殊任务需求采取申报审批限时通行。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0A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</w:p>
        </w:tc>
      </w:tr>
      <w:tr w14:paraId="602A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3B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五类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E6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采取申报方式按需单向通行。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5D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双向通行。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33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</w:p>
        </w:tc>
      </w:tr>
      <w:tr w14:paraId="17749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9B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六类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6B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23:00至次日19:00可按需双向通行，19:00至23:00限制驶入，可往卫星桥方向驶出。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74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双向通行。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61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24"/>
                <w:szCs w:val="24"/>
                <w:u w:val="none"/>
              </w:rPr>
            </w:pPr>
          </w:p>
        </w:tc>
      </w:tr>
      <w:tr w14:paraId="3B8D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00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七类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6E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全天限制驶入古城石板路段。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32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全天限制驶入古城石板路段。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9B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404040"/>
                <w:sz w:val="18"/>
                <w:szCs w:val="18"/>
                <w:u w:val="none"/>
              </w:rPr>
            </w:pPr>
          </w:p>
        </w:tc>
      </w:tr>
    </w:tbl>
    <w:p w14:paraId="4F715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</w:p>
    <w:p w14:paraId="1E83D1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  <w:u w:val="none"/>
          <w:lang w:val="en-US" w:eastAsia="zh-CN" w:bidi="ar-SA"/>
        </w:rPr>
        <w:t>古城景区非核心区道路交通组织优化措施</w:t>
      </w:r>
    </w:p>
    <w:p w14:paraId="6647D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（一）优化城区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单行线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循环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路段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的通行方案</w:t>
      </w:r>
    </w:p>
    <w:p w14:paraId="031A0D90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单行循环</w:t>
      </w: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通行</w:t>
      </w: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路段：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镇远剧场→新大桥→民主街（经城关五小路口、文化园）→盘龙街→盘龙桥→西门街→和平街→联合街→镇远剧场，实行逆时针单向通行。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通行</w:t>
      </w: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时段：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与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景区核心区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同步（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7月1日至8月31日（9:00至23:00），9月1日至次年6月30日（9:00至22:00））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繁忙时段一类至六类车辆单向通行，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非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繁忙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时段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一类至六类车辆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双向通行。</w:t>
      </w:r>
    </w:p>
    <w:p w14:paraId="6E430C22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（二）古城景区周边</w:t>
      </w: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其他路段</w:t>
      </w: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优化</w:t>
      </w: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措施：</w:t>
      </w:r>
    </w:p>
    <w:p w14:paraId="1E94471B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分段单行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：民生街（灵角寨马路市场）、平冒街滨江路（古镇花园后方）；</w:t>
      </w:r>
    </w:p>
    <w:p w14:paraId="5D8A0B0C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限制通行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镇远一号隧道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限制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二轮摩托车、非机动车通行；</w:t>
      </w:r>
    </w:p>
    <w:p w14:paraId="6113C36B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车辆限行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除城市公交及换乘摆渡车外，禁止大型客货运车辆驶入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古城景区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石板路面街道；</w:t>
      </w:r>
    </w:p>
    <w:p w14:paraId="749B5EF1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rPr>
          <w:rFonts w:hint="eastAsia" w:ascii="仿宋_GB2312" w:hAnsi="仿宋_GB2312" w:eastAsia="仿宋_GB2312"/>
          <w:b w:val="0"/>
          <w:bCs w:val="0"/>
          <w:color w:val="0000FF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过境分流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过境车辆统一引导经211国道、551国道、中河山隧道等外围路线通行。</w:t>
      </w:r>
    </w:p>
    <w:p w14:paraId="65D93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黑体" w:hAnsi="黑体" w:eastAsia="黑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u w:val="none"/>
          <w:lang w:val="en-US" w:eastAsia="zh-CN"/>
        </w:rPr>
        <w:t>三、古城景区配套优化完善保障措施</w:t>
      </w:r>
    </w:p>
    <w:p w14:paraId="706D624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  <w:lang w:val="en-US" w:eastAsia="zh-CN"/>
        </w:rPr>
        <w:t>完善交通标识。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设置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过境交通引导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剧场、东关上二级路、卫星桥、中河山隧道两端等地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设置三级引导标志（2km/1km/500m预告）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将过境车辆引导从中河山隧道通行。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在步行街设置3套逆行抓拍卡口和数个违停抓拍摄像头，管控逆行、违停等违法行为。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在古城区域设置一批符合古城风貌的旅游交通引导指示牌、禁行标志等，维修现有的交通信号灯和交通标识。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高德、百度地图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导航软件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公司修改步行街管制路线和通行路线，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导流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车辆按管制路线行驶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五是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县城运公司以就近原则全力配合公务用车停放事宜。</w:t>
      </w:r>
    </w:p>
    <w:p w14:paraId="374355FE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jc w:val="both"/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  <w:lang w:val="en-US" w:eastAsia="zh-CN"/>
        </w:rPr>
        <w:t>（二）景区核心区出</w:t>
      </w: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</w:rPr>
        <w:t>入口</w:t>
      </w: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  <w:lang w:val="en-US" w:eastAsia="zh-CN"/>
        </w:rPr>
        <w:t>限制方式</w:t>
      </w: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>由县交警大队、县综合执法局统筹安排人员值守，对出入车辆类型识别后限制通行。</w:t>
      </w:r>
    </w:p>
    <w:p w14:paraId="2D741C7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both"/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  <w:lang w:val="en-US" w:eastAsia="zh-CN"/>
        </w:rPr>
        <w:t>（三）优化停车服务管理。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在县委、县政府、大工厂等停车场增设二轮车专用停车位。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利用闲置空地增加步行街周边停车位。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完善县城区停车场智能系统，优化停车场进出口通道管理，对城区国有停车场进出口进行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优化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整改，最大限度保障进出通道单独设置，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避免自驾车辆盲目进出造成拥堵。</w:t>
      </w:r>
    </w:p>
    <w:p w14:paraId="55545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u w:val="none"/>
          <w:lang w:val="en-US" w:eastAsia="zh-CN"/>
        </w:rPr>
        <w:t>（四）优化公共交通服务</w:t>
      </w:r>
    </w:p>
    <w:p w14:paraId="6ED87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仿宋_GB2312" w:hAnsi="仿宋_GB2312" w:eastAsia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none"/>
          <w:lang w:val="en-US" w:eastAsia="zh-CN"/>
        </w:rPr>
        <w:t>1.优化公交站点设置。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u w:val="none"/>
          <w:lang w:val="en-US" w:eastAsia="zh-CN" w:bidi="ar-SA"/>
        </w:rPr>
        <w:t>将六牌（北极宫）、公路段（大码头渡口）等站点进行优化。</w:t>
      </w:r>
    </w:p>
    <w:p w14:paraId="0BED91E2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both"/>
        <w:rPr>
          <w:rFonts w:hint="eastAsia" w:ascii="仿宋_GB2312" w:hAnsi="仿宋_GB2312" w:eastAsia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2.优化调整县城区部分公交线路起讫点、走向、停靠站和延长旅游旺季末班时间。</w:t>
      </w:r>
      <w:r>
        <w:rPr>
          <w:rFonts w:hint="eastAsia" w:ascii="仿宋_GB2312" w:hAnsi="仿宋_GB2312" w:eastAsia="仿宋_GB2312"/>
          <w:color w:val="auto"/>
          <w:sz w:val="32"/>
          <w:u w:val="none"/>
          <w:lang w:val="en-US" w:eastAsia="zh-CN" w:bidi="ar-SA"/>
        </w:rPr>
        <w:t>在步行街交通管制措施调整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u w:val="none"/>
          <w:lang w:val="en-US" w:eastAsia="zh-CN" w:bidi="ar-SA"/>
        </w:rPr>
        <w:t>后，对县城区部分公交线路起讫点、走向、停靠站点和旺季（7月1日至9月1日）末班时间进行优化调整，并对现有的公交车支付系统进行升级改造，增加免费换乘和分段计费功能。</w:t>
      </w:r>
    </w:p>
    <w:p w14:paraId="29EAF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/>
          <w:b/>
          <w:bCs/>
          <w:color w:val="000000"/>
          <w:sz w:val="32"/>
          <w:u w:val="none"/>
          <w:lang w:val="en-US" w:eastAsia="zh-CN" w:bidi="ar-SA"/>
        </w:rPr>
        <w:t>3.</w:t>
      </w:r>
      <w:r>
        <w:rPr>
          <w:rFonts w:hint="eastAsia" w:ascii="仿宋_GB2312" w:hAnsi="仿宋_GB2312" w:eastAsia="仿宋_GB2312"/>
          <w:b/>
          <w:bCs/>
          <w:color w:val="000000"/>
          <w:sz w:val="32"/>
          <w:u w:val="none"/>
          <w:lang w:val="en-US" w:eastAsia="zh-CN" w:bidi="ar-SA"/>
        </w:rPr>
        <w:t>优化摆渡车运行模式。</w:t>
      </w:r>
      <w:r>
        <w:rPr>
          <w:rFonts w:hint="eastAsia" w:ascii="仿宋_GB2312" w:hAnsi="仿宋_GB2312" w:eastAsia="仿宋_GB2312"/>
          <w:color w:val="000000"/>
          <w:sz w:val="32"/>
          <w:u w:val="none"/>
          <w:lang w:val="en-US" w:eastAsia="zh-CN" w:bidi="ar-SA"/>
        </w:rPr>
        <w:t>将当天往返游客统一送到林业局停车场。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u w:val="none"/>
          <w:lang w:val="en-US" w:eastAsia="zh-CN" w:bidi="ar-SA"/>
        </w:rPr>
        <w:t>对住宿游客（包含步行街内住宿游客）仍实行点对点接送。</w:t>
      </w:r>
    </w:p>
    <w:p w14:paraId="670502A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_GB2312" w:hAnsi="仿宋_GB2312" w:eastAsia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4.分批次更新新能源公交车。</w:t>
      </w:r>
      <w:r>
        <w:rPr>
          <w:rFonts w:hint="eastAsia" w:ascii="仿宋_GB2312" w:hAnsi="仿宋_GB2312" w:eastAsia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持续推进适老化改造，拓展全方位出行数字化服务，逐步统一车身图案颜色，提升乘坐公交车出行体验。</w:t>
      </w:r>
    </w:p>
    <w:p w14:paraId="5427A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仿宋_GB2312" w:hAnsi="仿宋_GB2312" w:eastAsia="仿宋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5.开通并优化水上巴士接驳专线。</w:t>
      </w:r>
      <w:r>
        <w:rPr>
          <w:rFonts w:hint="eastAsia" w:ascii="仿宋_GB2312" w:hAnsi="仿宋_GB2312" w:eastAsia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通过水上巴士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u w:val="none"/>
          <w:lang w:val="en-US" w:eastAsia="zh-CN" w:bidi="ar-SA"/>
        </w:rPr>
        <w:t>连接步行街与外围停车场，如二中、火车站（汽车站）、文化园等停车场，方便游客出行。</w:t>
      </w:r>
    </w:p>
    <w:p w14:paraId="42A3C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>6.开通古城核心区观光车。</w:t>
      </w:r>
      <w:r>
        <w:rPr>
          <w:rFonts w:hint="eastAsia" w:ascii="仿宋_GB2312" w:hAnsi="仿宋_GB2312" w:eastAsia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观光车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u w:val="none"/>
          <w:lang w:val="en-US" w:eastAsia="zh-CN" w:bidi="ar-SA"/>
        </w:rPr>
        <w:t>运行线路为卫星桥至新大桥，双向往返运行。运行时间为5月1日至10月31日9：00至23：00、11月1日至次年4月30日9：00至22：00。</w:t>
      </w:r>
    </w:p>
    <w:p w14:paraId="1F20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黑体" w:hAnsi="黑体" w:eastAsia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u w:val="none"/>
          <w:lang w:val="en-US" w:eastAsia="zh-CN"/>
        </w:rPr>
        <w:t>四、优化措施执行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时间</w:t>
      </w:r>
    </w:p>
    <w:p w14:paraId="762A0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仿宋_GB2312" w:hAns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u w:val="none"/>
          <w:lang w:val="en-US" w:eastAsia="zh-CN"/>
        </w:rPr>
        <w:t>2025年8月21日起，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u w:val="none"/>
          <w:lang w:val="en-US" w:eastAsia="zh-CN"/>
        </w:rPr>
        <w:t>古城景区核心区及非核心区域严格执行以上优化措施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  <w:lang w:val="en-US" w:eastAsia="zh-CN"/>
        </w:rPr>
        <w:t>如遇节假日或开展重大活动，以交警部门发出的交通管制措施为准。</w:t>
      </w:r>
    </w:p>
    <w:p w14:paraId="7E9AE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ascii="Calibri" w:hAnsi="Calibri" w:eastAsia="仿宋_GB2312"/>
          <w:color w:val="000000"/>
          <w:sz w:val="32"/>
          <w:u w:val="none"/>
        </w:rPr>
      </w:pPr>
    </w:p>
    <w:p w14:paraId="0275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ascii="Calibri" w:hAnsi="Calibri" w:eastAsia="仿宋_GB2312"/>
          <w:color w:val="000000"/>
          <w:sz w:val="32"/>
          <w:u w:val="none"/>
        </w:rPr>
      </w:pPr>
    </w:p>
    <w:p w14:paraId="68758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ascii="Calibri" w:hAnsi="Calibri" w:eastAsia="仿宋_GB2312"/>
          <w:color w:val="000000"/>
          <w:sz w:val="32"/>
          <w:u w:val="none"/>
        </w:rPr>
      </w:pPr>
    </w:p>
    <w:p w14:paraId="3337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ascii="Calibri" w:hAnsi="Calibri" w:eastAsia="仿宋_GB2312"/>
          <w:color w:val="000000"/>
          <w:sz w:val="32"/>
          <w:u w:val="none"/>
        </w:rPr>
      </w:pPr>
    </w:p>
    <w:p w14:paraId="5428A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eastAsia="仿宋_GB2312"/>
          <w:color w:val="000000"/>
          <w:sz w:val="32"/>
          <w:u w:val="none"/>
          <w:lang w:val="en-US" w:eastAsia="zh-CN"/>
        </w:rPr>
      </w:pPr>
      <w:r>
        <w:rPr>
          <w:rFonts w:hint="eastAsia" w:eastAsia="仿宋_GB2312"/>
          <w:color w:val="000000"/>
          <w:sz w:val="32"/>
          <w:u w:val="none"/>
          <w:lang w:val="en-US" w:eastAsia="zh-CN"/>
        </w:rPr>
        <w:t xml:space="preserve">                         </w:t>
      </w:r>
    </w:p>
    <w:p w14:paraId="05277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rPr>
          <w:rFonts w:hint="eastAsia" w:ascii="仿宋_GB2312" w:hAnsi="仿宋_GB2312" w:eastAsia="仿宋_GB2312"/>
          <w:color w:val="000000"/>
          <w:sz w:val="32"/>
          <w:u w:val="none"/>
          <w:lang w:val="en-US" w:eastAsia="zh-CN"/>
        </w:rPr>
      </w:pPr>
    </w:p>
    <w:p w14:paraId="6C044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rPr>
          <w:rFonts w:hint="eastAsia" w:ascii="仿宋_GB2312" w:hAnsi="仿宋_GB2312" w:eastAsia="仿宋_GB2312"/>
          <w:color w:val="000000"/>
          <w:sz w:val="32"/>
          <w:u w:val="none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7799">
    <w:pPr>
      <w:pStyle w:val="16"/>
      <w:tabs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ED73F">
                          <w:pPr>
                            <w:pStyle w:val="16"/>
                            <w:tabs>
                              <w:tab w:val="clear" w:pos="4153"/>
                              <w:tab w:val="clear" w:pos="8306"/>
                            </w:tabs>
                            <w:ind w:left="210" w:leftChars="100" w:right="210" w:rightChars="100"/>
                            <w:rPr>
                              <w:rStyle w:val="19"/>
                              <w:rFonts w:hint="eastAsia"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9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9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9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1ED73F">
                    <w:pPr>
                      <w:pStyle w:val="16"/>
                      <w:tabs>
                        <w:tab w:val="clear" w:pos="4153"/>
                        <w:tab w:val="clear" w:pos="8306"/>
                      </w:tabs>
                      <w:ind w:left="210" w:leftChars="100" w:right="210" w:rightChars="100"/>
                      <w:rPr>
                        <w:rStyle w:val="19"/>
                        <w:rFonts w:hint="eastAsia"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9"/>
                        <w:rFonts w:hint="eastAsia"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eastAsia"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9"/>
                        <w:rFonts w:hint="eastAsia"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eastAsia"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9"/>
                        <w:rFonts w:hint="eastAsia"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9"/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477DB">
    <w:pPr>
      <w:pStyle w:val="16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 w14:paraId="2F149A9D">
    <w:pPr>
      <w:pStyle w:val="16"/>
      <w:tabs>
        <w:tab w:val="clear" w:pos="4153"/>
        <w:tab w:val="clear" w:pos="8306"/>
      </w:tabs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0D6E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120C1A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120C1A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F50FC"/>
    <w:multiLevelType w:val="singleLevel"/>
    <w:tmpl w:val="6BCF50FC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576E"/>
    <w:rsid w:val="05007DBD"/>
    <w:rsid w:val="0DF7577A"/>
    <w:rsid w:val="0E250E55"/>
    <w:rsid w:val="181A633C"/>
    <w:rsid w:val="1DD43A3E"/>
    <w:rsid w:val="1E5FD0DD"/>
    <w:rsid w:val="1EFE07A4"/>
    <w:rsid w:val="1FEFF168"/>
    <w:rsid w:val="23FF7955"/>
    <w:rsid w:val="263D8881"/>
    <w:rsid w:val="2B5D2F22"/>
    <w:rsid w:val="3107DADB"/>
    <w:rsid w:val="35A77105"/>
    <w:rsid w:val="35AB8337"/>
    <w:rsid w:val="36F5790E"/>
    <w:rsid w:val="3DDFBDEC"/>
    <w:rsid w:val="3DDFF64E"/>
    <w:rsid w:val="3F7F3826"/>
    <w:rsid w:val="3FB9FB38"/>
    <w:rsid w:val="3FE7BC87"/>
    <w:rsid w:val="3FEF0BB0"/>
    <w:rsid w:val="3FFDEE8E"/>
    <w:rsid w:val="4126566D"/>
    <w:rsid w:val="54424038"/>
    <w:rsid w:val="557BD89F"/>
    <w:rsid w:val="55DB5F7A"/>
    <w:rsid w:val="55F33966"/>
    <w:rsid w:val="56BD9C5C"/>
    <w:rsid w:val="57A54BDB"/>
    <w:rsid w:val="59FE58A6"/>
    <w:rsid w:val="5BD5DF3A"/>
    <w:rsid w:val="5C9A0AC7"/>
    <w:rsid w:val="62A63B4E"/>
    <w:rsid w:val="656EADA8"/>
    <w:rsid w:val="67134BCC"/>
    <w:rsid w:val="67BEF5EA"/>
    <w:rsid w:val="67FBC51A"/>
    <w:rsid w:val="68D706AD"/>
    <w:rsid w:val="6AE72484"/>
    <w:rsid w:val="6BBFD8AB"/>
    <w:rsid w:val="6CDFC8CD"/>
    <w:rsid w:val="6D1F8CDD"/>
    <w:rsid w:val="6DF89E09"/>
    <w:rsid w:val="6E7BFEFC"/>
    <w:rsid w:val="6E7FD4BF"/>
    <w:rsid w:val="6E9D6247"/>
    <w:rsid w:val="6F2BBBC7"/>
    <w:rsid w:val="6FEF7EF3"/>
    <w:rsid w:val="72484296"/>
    <w:rsid w:val="761FC834"/>
    <w:rsid w:val="76EC7FF2"/>
    <w:rsid w:val="775610D9"/>
    <w:rsid w:val="775FD5FA"/>
    <w:rsid w:val="77A363AB"/>
    <w:rsid w:val="7979FB83"/>
    <w:rsid w:val="79EDD097"/>
    <w:rsid w:val="7A1F0E21"/>
    <w:rsid w:val="7A6C1686"/>
    <w:rsid w:val="7AFBB1FB"/>
    <w:rsid w:val="7BF834FC"/>
    <w:rsid w:val="7BFB2299"/>
    <w:rsid w:val="7DA6E02F"/>
    <w:rsid w:val="7DBFCCC5"/>
    <w:rsid w:val="7DED81F7"/>
    <w:rsid w:val="7E77CD2A"/>
    <w:rsid w:val="7ED01430"/>
    <w:rsid w:val="7EEF5106"/>
    <w:rsid w:val="7EFF051F"/>
    <w:rsid w:val="7FB55353"/>
    <w:rsid w:val="7FBD02A5"/>
    <w:rsid w:val="7FDF3064"/>
    <w:rsid w:val="7FF7811B"/>
    <w:rsid w:val="8A19D8F1"/>
    <w:rsid w:val="9BCFE800"/>
    <w:rsid w:val="A6BF39A2"/>
    <w:rsid w:val="A9BF8C6A"/>
    <w:rsid w:val="AFE7D487"/>
    <w:rsid w:val="B6FF4665"/>
    <w:rsid w:val="BAB9F84F"/>
    <w:rsid w:val="BAFBAD22"/>
    <w:rsid w:val="BBF61672"/>
    <w:rsid w:val="BEDD9FDA"/>
    <w:rsid w:val="BEFF41F0"/>
    <w:rsid w:val="BF6B41B6"/>
    <w:rsid w:val="BFB96BA6"/>
    <w:rsid w:val="BFFE13D3"/>
    <w:rsid w:val="BFFFBC43"/>
    <w:rsid w:val="CE1E61AA"/>
    <w:rsid w:val="CE7F59B0"/>
    <w:rsid w:val="D57F11FA"/>
    <w:rsid w:val="D5FB6ABF"/>
    <w:rsid w:val="DBFED609"/>
    <w:rsid w:val="DCE2D3E2"/>
    <w:rsid w:val="DFB556AC"/>
    <w:rsid w:val="DFB9CBBC"/>
    <w:rsid w:val="DFBFCBE8"/>
    <w:rsid w:val="DFDBE410"/>
    <w:rsid w:val="DFDF69BF"/>
    <w:rsid w:val="DFFF3D0D"/>
    <w:rsid w:val="E2FB2DA4"/>
    <w:rsid w:val="E6F70B51"/>
    <w:rsid w:val="EAEE1303"/>
    <w:rsid w:val="EDFFC2EE"/>
    <w:rsid w:val="EFDB56C4"/>
    <w:rsid w:val="EFFB6F04"/>
    <w:rsid w:val="F2FF47B7"/>
    <w:rsid w:val="F3D91310"/>
    <w:rsid w:val="F3EBDCE8"/>
    <w:rsid w:val="F4B7384E"/>
    <w:rsid w:val="F5ABD57E"/>
    <w:rsid w:val="F6CFCAF9"/>
    <w:rsid w:val="F6EFCE77"/>
    <w:rsid w:val="F71474B1"/>
    <w:rsid w:val="F79F4340"/>
    <w:rsid w:val="F7ED4E98"/>
    <w:rsid w:val="FC79B4F0"/>
    <w:rsid w:val="FCD7A878"/>
    <w:rsid w:val="FDBA575A"/>
    <w:rsid w:val="FDF67CFA"/>
    <w:rsid w:val="FDF7D68E"/>
    <w:rsid w:val="FEEF0545"/>
    <w:rsid w:val="FEF7EDF4"/>
    <w:rsid w:val="FF6B43DD"/>
    <w:rsid w:val="FFBF460D"/>
    <w:rsid w:val="FFEDA99C"/>
    <w:rsid w:val="FFEDDA1A"/>
    <w:rsid w:val="FFEF3B32"/>
    <w:rsid w:val="FFFFD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11">
    <w:name w:val="默认段落字体11"/>
    <w:link w:val="1"/>
    <w:qFormat/>
    <w:uiPriority w:val="0"/>
  </w:style>
  <w:style w:type="table" w:customStyle="1" w:styleId="12">
    <w:name w:val="普通表格1"/>
    <w:qFormat/>
    <w:uiPriority w:val="0"/>
  </w:style>
  <w:style w:type="paragraph" w:customStyle="1" w:styleId="13">
    <w:name w:val="引文目录1"/>
    <w:basedOn w:val="1"/>
    <w:qFormat/>
    <w:uiPriority w:val="0"/>
    <w:pPr>
      <w:ind w:left="420" w:leftChars="200"/>
    </w:pPr>
    <w:rPr>
      <w:rFonts w:ascii="Times New Roman" w:hAnsi="Times New Roman"/>
      <w:szCs w:val="24"/>
    </w:rPr>
  </w:style>
  <w:style w:type="paragraph" w:customStyle="1" w:styleId="14">
    <w:name w:val="正文文本缩进11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5">
    <w:name w:val="纯文本11"/>
    <w:basedOn w:val="1"/>
    <w:qFormat/>
    <w:uiPriority w:val="0"/>
    <w:pPr>
      <w:widowControl w:val="0"/>
      <w:snapToGrid/>
      <w:spacing w:after="0"/>
      <w:jc w:val="both"/>
    </w:pPr>
    <w:rPr>
      <w:rFonts w:ascii="宋体" w:hAnsi="Courier New" w:eastAsia="宋体"/>
      <w:kern w:val="2"/>
      <w:sz w:val="21"/>
      <w:szCs w:val="21"/>
    </w:rPr>
  </w:style>
  <w:style w:type="paragraph" w:customStyle="1" w:styleId="16">
    <w:name w:val="页脚1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正文首行缩进 211"/>
    <w:basedOn w:val="14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19">
    <w:name w:val="页码11"/>
    <w:basedOn w:val="11"/>
    <w:link w:val="1"/>
    <w:qFormat/>
    <w:uiPriority w:val="0"/>
  </w:style>
  <w:style w:type="character" w:customStyle="1" w:styleId="20">
    <w:name w:val="默认段落字体1"/>
    <w:link w:val="1"/>
    <w:qFormat/>
    <w:uiPriority w:val="0"/>
  </w:style>
  <w:style w:type="paragraph" w:customStyle="1" w:styleId="21">
    <w:name w:val="纯文本1"/>
    <w:basedOn w:val="1"/>
    <w:qFormat/>
    <w:uiPriority w:val="0"/>
    <w:pPr>
      <w:widowControl w:val="0"/>
      <w:snapToGrid/>
      <w:spacing w:after="0"/>
      <w:jc w:val="both"/>
    </w:pPr>
    <w:rPr>
      <w:rFonts w:ascii="宋体" w:hAnsi="Courier New" w:eastAsia="宋体"/>
      <w:kern w:val="2"/>
      <w:sz w:val="21"/>
      <w:szCs w:val="21"/>
    </w:rPr>
  </w:style>
  <w:style w:type="paragraph" w:customStyle="1" w:styleId="22">
    <w:name w:val="正文首行缩进 21"/>
    <w:basedOn w:val="2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23">
    <w:name w:val="正文文本缩进1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2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5">
    <w:name w:val="页码1"/>
    <w:basedOn w:val="20"/>
    <w:link w:val="1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26">
    <w:name w:val="font21"/>
    <w:basedOn w:val="8"/>
    <w:qFormat/>
    <w:uiPriority w:val="0"/>
    <w:rPr>
      <w:rFonts w:hint="eastAsia" w:ascii="仿宋_GB2312" w:eastAsia="仿宋_GB2312" w:cs="仿宋_GB2312"/>
      <w:color w:val="404040"/>
      <w:sz w:val="18"/>
      <w:szCs w:val="18"/>
      <w:u w:val="none"/>
    </w:rPr>
  </w:style>
  <w:style w:type="character" w:customStyle="1" w:styleId="27">
    <w:name w:val="font11"/>
    <w:basedOn w:val="8"/>
    <w:qFormat/>
    <w:uiPriority w:val="0"/>
    <w:rPr>
      <w:rFonts w:hint="eastAsia" w:ascii="仿宋_GB2312" w:eastAsia="仿宋_GB2312" w:cs="仿宋_GB2312"/>
      <w:b/>
      <w:bCs/>
      <w:color w:val="40404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2092</Words>
  <Characters>2199</Characters>
  <Lines>0</Lines>
  <Paragraphs>0</Paragraphs>
  <TotalTime>5</TotalTime>
  <ScaleCrop>false</ScaleCrop>
  <LinksUpToDate>false</LinksUpToDate>
  <CharactersWithSpaces>2229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2025-04-23T18:30:00Z</dcterms:created>
  <dc:creator>不烦人</dc:creator>
  <cp:lastModifiedBy>揮惏</cp:lastModifiedBy>
  <dcterms:modified xsi:type="dcterms:W3CDTF">2025-07-12T08:36:57Z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eyJoZGlkIjoiY2I4MjM2MzQ3NWU5NWRjZTQ1Y2MzMGQ0ODkwZTczZmIiLCJ1c2VySWQiOiIxMDYzNjYxODkxIn0=</vt:lpwstr>
  </property>
  <property fmtid="{D5CDD505-2E9C-101B-9397-08002B2CF9AE}" pid="3" name="KSOProductBuildVer">
    <vt:lpwstr>2052-12.1.0.21915</vt:lpwstr>
  </property>
  <property fmtid="{D5CDD505-2E9C-101B-9397-08002B2CF9AE}" pid="4" name="ICV">
    <vt:lpwstr>CE7D2F4BA80247598019D28A6F2E98A1_13</vt:lpwstr>
  </property>
</Properties>
</file>